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A3087">
      <w:pPr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1C0F210B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关于本市住宅公共空间品质提升</w:t>
      </w:r>
    </w:p>
    <w:p w14:paraId="3A8B172F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的意见（试行）</w:t>
      </w:r>
    </w:p>
    <w:p w14:paraId="59CC549D">
      <w:pPr>
        <w:pStyle w:val="3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 w14:paraId="735F6CDE">
      <w:pPr>
        <w:pStyle w:val="3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为深入贯彻中央城市工作会议精神，建设“创新、宜居、韧性、文明、智慧”的现代化人民城市，更好地满足广大人民群众对美好生活的向往，推动我市住宅高水平精细化设计，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提升住宅公共空间品质，建设安全舒适绿色智慧的好房子，</w:t>
      </w: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现制定以下意见。</w:t>
      </w:r>
    </w:p>
    <w:p w14:paraId="65A884AA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一、创新住宅空间形态，因地制宜开展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抬板设计</w:t>
      </w:r>
    </w:p>
    <w:p w14:paraId="407CE2FB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丰富我市住宅空间形态，美化营造良好社区环境，优先在存在地形高差、滨水沿线或位于轨道“微中心”的居住用地开展抬板设计。各区应对拟通过“招拍挂”出让的居住用地进行场地分析，结合城市设计研判能否开展抬板设计，并纳入供地规划条件。层数在七层及以上的住宅建筑可开展抬板设计，以此丰富住区配套、实现立体分层、达到人车分流，并提升住宅首层的景观效果，提升市场接受程度。</w:t>
      </w:r>
    </w:p>
    <w:p w14:paraId="5FABC1FD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鼓励居民绿色出行，合理设置慢行连通空间</w:t>
      </w:r>
    </w:p>
    <w:p w14:paraId="5428EBC9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增强社区与城市的连通性，方便居民绿色出行。对于提升社区形象、丰富街道景观的社区入口大门，可不计入项目容积率。鼓励社区利用风雨连廊与城市公共空间进行衔接，通过风雨连廊与入口会客厅、公共服务用房，以及项目外公共活动空间、轨道站点、公交站点、公园绿地等公共空间实现连通的项目，风雨连廊不计入项目容积率。</w:t>
      </w:r>
    </w:p>
    <w:p w14:paraId="50BF6BF3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落实规划管控要求，明确抬板计算相关规则</w:t>
      </w:r>
    </w:p>
    <w:p w14:paraId="7AFE780E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落实我市建筑高度安全管控要求，打造良好城市建筑风貌，开展抬板设计的住宅建筑高度仍以板下室外地坪正负零开始计算，抬板高度</w:t>
      </w:r>
      <w:r>
        <w:rPr>
          <w:rFonts w:ascii="FangSong_GB2312" w:hAnsi="FangSong_GB2312" w:eastAsia="FangSong_GB2312" w:cs="FangSong_GB2312"/>
          <w:b w:val="0"/>
          <w:kern w:val="2"/>
          <w:sz w:val="32"/>
          <w:szCs w:val="32"/>
          <w:lang w:eastAsia="zh-CN"/>
        </w:rPr>
        <w:t>（含板上覆土）</w:t>
      </w: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原则上不得超过8米。抬板平台以下的地上建筑空间在层高、通透性等满足规划要求的前提下，不计入规划条件中的地上建筑规模，并在经济技术指标表中单列；从室外地坪以上的建筑空间开始计算建筑层数，从抬板平台以上开始计算住宅层数。</w:t>
      </w:r>
    </w:p>
    <w:p w14:paraId="3DA6BDAE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开展空间复合利用，实现功能垂直混合</w:t>
      </w:r>
    </w:p>
    <w:p w14:paraId="3C52CF68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充分贯彻落实《北京市高品质商品住宅设计导则（试行）》《北京市平原多点地区“好房子”规划管理相关技术要点（试行）》相关要求，鼓励抬板架空层开展功能复合利用，设置除居住功能以外的停车、配套公服、市政设施、下沉庭院、邻里空间等，实现与抬板平台以上的居住功能的垂直混合。</w:t>
      </w:r>
    </w:p>
    <w:p w14:paraId="7EF91B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 w:cstheme="majorBidi"/>
          <w:b/>
          <w:bCs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五、明确土地供应规则，做好后续手续衔接</w:t>
      </w:r>
    </w:p>
    <w:p w14:paraId="1DB595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抬板架空层在严格执行《北京市居住公共服务设施配置指标》和《北京市居住公共服务设施配置指标实施意见》的情况下，可根据社区实际需求，按一定比例设置商业服务业等经营性空间与非经营性空间。符合《划拨用地目录》规定的非经营性空间，可按划拨方式供应；不符合《划拨用地目录》规定的非经营性空间及经营性空间采用有偿方式供应。抬板架空层在“招拍挂”文件、土地出让合同、确权登记证簿等中注记为“地上板下空间”，抬板平台以上的住宅不涉及地上板下空间的建筑面积分摊，按有关规定属于全体业主共有的除外。</w:t>
      </w:r>
    </w:p>
    <w:p w14:paraId="42AA8F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theme="majorBidi"/>
          <w:b/>
          <w:bCs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六、营造丰富社区景观，提升绿化空间品质</w:t>
      </w:r>
    </w:p>
    <w:p w14:paraId="68C5E7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打造自然怡人、空间丰富的社区景观，鼓励采用下沉庭院、立体绿化等方式开展景观设计。鉴于抬板结构的特殊性，鼓励采用屋顶绿化、垂直绿化等方式，增加社区绿色空间，做到“推窗见绿”。绿地率计算方式应符合相关要求。</w:t>
      </w:r>
    </w:p>
    <w:p w14:paraId="109F5B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theme="majorBidi"/>
          <w:b/>
          <w:bCs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七、创造开放城市空间，营造良好人居环境</w:t>
      </w:r>
    </w:p>
    <w:p w14:paraId="2DE4B0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营造良好的城市界面，创造开放的城市空间，开展抬板设计的住宅社区应注重与城市界面的关系。抬板架空平台应按多层建筑退让用地红线。鼓励沿街设置面向城市行人的开放公共空间，或进行绿化景观设计，不得设置连续大面积封闭墙体。</w:t>
      </w:r>
    </w:p>
    <w:p w14:paraId="6BF0FA55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八、落实消防安全要求，做好防洪排涝措施</w:t>
      </w:r>
    </w:p>
    <w:p w14:paraId="68B90018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保障社区安全，增强城市韧性，开展抬板设计的建筑，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eastAsia="zh-CN"/>
        </w:rPr>
        <w:t>各项建设均应满足结构荷载安全，</w:t>
      </w: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消防车须可驶入抬板平台，并可利用抬板平台用作消防通道、消防扑救面，相应建筑的消防设计高度以抬板平台室外地坪正负零起算。抬板层应结合实际空间布局，满足相应功能的消防设计规范，并做好防洪排涝措施。</w:t>
      </w:r>
    </w:p>
    <w:p w14:paraId="1F6B10D1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九、严守规划管理要求，加强规划实施监督</w:t>
      </w:r>
    </w:p>
    <w:p w14:paraId="7FBCA0CB">
      <w:pPr>
        <w:pStyle w:val="2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各方需落实好主体责任，在规划实施中对上述创新政策做好长效管理。项目实施主体与设计单位在设计施工中应严守相应法律法规、规范标准、政策文件。供地规划条件、综合会商意见、建设工程规划许可证及所附图件等规划文件中，应对相关规划管理要求予以明确。规划监督</w:t>
      </w: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shd w:val="clear" w:fill="FFFFFF"/>
          <w:lang w:val="en-US" w:eastAsia="zh-CN" w:bidi="ar-SA"/>
        </w:rPr>
        <w:t>过程中</w:t>
      </w:r>
      <w:r>
        <w:rPr>
          <w:rFonts w:hint="eastAsia" w:ascii="仿宋_GB2312" w:hAnsi="仿宋_GB2312" w:eastAsia="仿宋_GB2312" w:cs="仿宋_GB2312"/>
          <w:b w:val="0"/>
          <w:bCs/>
          <w:spacing w:val="0"/>
          <w:kern w:val="2"/>
          <w:sz w:val="32"/>
          <w:szCs w:val="32"/>
          <w:lang w:val="en-US" w:eastAsia="zh-CN" w:bidi="ar-SA"/>
        </w:rPr>
        <w:t>发现未按照规划许可内容建设的，移交执法部门依法依规予以查处。</w:t>
      </w:r>
    </w:p>
    <w:p w14:paraId="7744566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本意见自发布之日起在全市范围内试行，有效期两年。此前文件规定与本意见不一致的，以本意见为准。</w:t>
      </w:r>
    </w:p>
    <w:p w14:paraId="6069F8C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</w:p>
    <w:p w14:paraId="2C779171">
      <w:pPr>
        <w:pStyle w:val="3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B1B5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FF41B8">
                          <w:pPr>
                            <w:pStyle w:val="6"/>
                            <w:rPr>
                              <w:sz w:val="32"/>
                              <w:szCs w:val="48"/>
                            </w:rPr>
                          </w:pPr>
                          <w:r>
                            <w:rPr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48"/>
                            </w:rPr>
                            <w:t>1</w:t>
                          </w:r>
                          <w:r>
                            <w:rPr>
                              <w:sz w:val="32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FF41B8">
                    <w:pPr>
                      <w:pStyle w:val="6"/>
                      <w:rPr>
                        <w:sz w:val="32"/>
                        <w:szCs w:val="48"/>
                      </w:rPr>
                    </w:pPr>
                    <w:r>
                      <w:rPr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sz w:val="32"/>
                        <w:szCs w:val="48"/>
                      </w:rPr>
                      <w:t>1</w:t>
                    </w:r>
                    <w:r>
                      <w:rPr>
                        <w:sz w:val="32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AF35C42"/>
    <w:rsid w:val="07CE0B52"/>
    <w:rsid w:val="1BBD4A26"/>
    <w:rsid w:val="1C96CA9B"/>
    <w:rsid w:val="1DD73CAF"/>
    <w:rsid w:val="26F3D5CF"/>
    <w:rsid w:val="30FE454F"/>
    <w:rsid w:val="356EEDE0"/>
    <w:rsid w:val="37DFB9E7"/>
    <w:rsid w:val="386F549B"/>
    <w:rsid w:val="398664FD"/>
    <w:rsid w:val="3D773AAC"/>
    <w:rsid w:val="3E4D9044"/>
    <w:rsid w:val="3F181D11"/>
    <w:rsid w:val="3FF74056"/>
    <w:rsid w:val="44570F54"/>
    <w:rsid w:val="45B772BA"/>
    <w:rsid w:val="53ED9DE2"/>
    <w:rsid w:val="557E6611"/>
    <w:rsid w:val="5DA7E18B"/>
    <w:rsid w:val="5DB7F555"/>
    <w:rsid w:val="685858DB"/>
    <w:rsid w:val="6EBE64B8"/>
    <w:rsid w:val="6EFBBF91"/>
    <w:rsid w:val="6FFB2D11"/>
    <w:rsid w:val="6FFE812F"/>
    <w:rsid w:val="72DA1C43"/>
    <w:rsid w:val="73AEEE38"/>
    <w:rsid w:val="76FBB1B2"/>
    <w:rsid w:val="79F3BD59"/>
    <w:rsid w:val="7BBF4FA4"/>
    <w:rsid w:val="7BEF607B"/>
    <w:rsid w:val="7C34B28A"/>
    <w:rsid w:val="7C35DA8D"/>
    <w:rsid w:val="7D443D9D"/>
    <w:rsid w:val="7EBF16E5"/>
    <w:rsid w:val="7EDA1655"/>
    <w:rsid w:val="7EE34683"/>
    <w:rsid w:val="7EEDAA7E"/>
    <w:rsid w:val="7F7FE1F8"/>
    <w:rsid w:val="7FDFE7B3"/>
    <w:rsid w:val="7FFDF26D"/>
    <w:rsid w:val="7FFFA286"/>
    <w:rsid w:val="97798B7C"/>
    <w:rsid w:val="9F7FB3B5"/>
    <w:rsid w:val="ACAF00DB"/>
    <w:rsid w:val="B7BF38E4"/>
    <w:rsid w:val="BB6E4F14"/>
    <w:rsid w:val="BBBF43FD"/>
    <w:rsid w:val="BBF956B5"/>
    <w:rsid w:val="BF760A7E"/>
    <w:rsid w:val="BFFE447A"/>
    <w:rsid w:val="BFFF597A"/>
    <w:rsid w:val="CAF35C42"/>
    <w:rsid w:val="CF7BE09A"/>
    <w:rsid w:val="D5FF8FFB"/>
    <w:rsid w:val="D73F6BC8"/>
    <w:rsid w:val="DA7D077B"/>
    <w:rsid w:val="DC2E9715"/>
    <w:rsid w:val="E37E6A53"/>
    <w:rsid w:val="EC3E9500"/>
    <w:rsid w:val="F3EE0DD2"/>
    <w:rsid w:val="F5BFCF6A"/>
    <w:rsid w:val="F7AF6150"/>
    <w:rsid w:val="FA973CC5"/>
    <w:rsid w:val="FBD6B571"/>
    <w:rsid w:val="FBF5D43B"/>
    <w:rsid w:val="FBFEFE8F"/>
    <w:rsid w:val="FC56BD49"/>
    <w:rsid w:val="FDBE5B2C"/>
    <w:rsid w:val="FDDA6C60"/>
    <w:rsid w:val="FDDF4F89"/>
    <w:rsid w:val="FDDF8DEE"/>
    <w:rsid w:val="FDF5414C"/>
    <w:rsid w:val="FF7F99CF"/>
    <w:rsid w:val="FF8FF7C6"/>
    <w:rsid w:val="FFBE47EB"/>
    <w:rsid w:val="FFCF171C"/>
    <w:rsid w:val="FFDB42BB"/>
    <w:rsid w:val="FFF21538"/>
    <w:rsid w:val="FFF5A9AD"/>
    <w:rsid w:val="FFFE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Calibri" w:hAnsi="Calibri"/>
      <w:sz w:val="21"/>
      <w:szCs w:val="24"/>
    </w:rPr>
  </w:style>
  <w:style w:type="paragraph" w:customStyle="1" w:styleId="4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paragraph" w:styleId="9">
    <w:name w:val="Body Text First Indent 2"/>
    <w:basedOn w:val="5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1712</Words>
  <Characters>1719</Characters>
  <Lines>0</Lines>
  <Paragraphs>0</Paragraphs>
  <TotalTime>1356</TotalTime>
  <ScaleCrop>false</ScaleCrop>
  <LinksUpToDate>false</LinksUpToDate>
  <CharactersWithSpaces>1720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2026-06-19T16:13:00Z</dcterms:created>
  <dc:creator>user</dc:creator>
  <cp:lastModifiedBy>user</cp:lastModifiedBy>
  <cp:lastPrinted>2026-09-25T02:11:00Z</cp:lastPrinted>
  <dcterms:modified xsi:type="dcterms:W3CDTF">2026-10-10T14:34:44Z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EA7FFA87FD824E52DDD7B06A84CF9567_43</vt:lpwstr>
  </property>
  <property fmtid="{D5CDD505-2E9C-101B-9397-08002B2CF9AE}" pid="4" name="KSOTemplateDocerSaveRecord">
    <vt:lpwstr>eyJoZGlkIjoiNjc3YTJiMWNkMzNiZGZjY2QyNDM5NjkzYWJkYmZkZDUiLCJ1c2VySWQiOiIyOTcwMDU0NjAifQ==</vt:lpwstr>
  </property>
  <property fmtid="{D5CDD505-2E9C-101B-9397-08002B2CF9AE}" pid="5" name="hmcheck_markmode">
    <vt:i4>0</vt:i4>
  </property>
  <property fmtid="{D5CDD505-2E9C-101B-9397-08002B2CF9AE}" pid="6" name="hmcheck_taskpanetype">
    <vt:i4>1</vt:i4>
  </property>
</Properties>
</file>