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630" w:lineRule="exact"/>
        <w:ind w:left="0"/>
        <w:jc w:val="center"/>
        <w:textAlignment w:val="auto"/>
        <w:rPr>
          <w:rFonts w:ascii="方正小标宋简体" w:eastAsia="方正小标宋简体" w:cs="方正小标宋简体" w:hAnsi="方正小标宋简体" w:hint="eastAsia"/>
          <w:b w:val="0"/>
          <w:bCs/>
          <w:sz w:val="44"/>
          <w:szCs w:val="44"/>
        </w:rPr>
      </w:pPr>
      <w:r>
        <w:rPr>
          <w:rFonts w:ascii="方正小标宋简体" w:eastAsia="方正小标宋简体" w:cs="方正小标宋简体" w:hAnsi="方正小标宋简体" w:hint="eastAsia"/>
          <w:b w:val="0"/>
          <w:bCs/>
          <w:sz w:val="44"/>
          <w:szCs w:val="44"/>
        </w:rPr>
        <w:t>关于《关于优化调整住房公积金提取政策的通知（征求意见稿）》的起草说明</w:t>
      </w:r>
    </w:p>
    <w:p>
      <w:pPr>
        <w:keepNext w:val="0"/>
        <w:keepLines w:val="0"/>
        <w:pageBreakBefore w:val="0"/>
        <w:widowControl w:val="0"/>
        <w:kinsoku/>
        <w:wordWrap/>
        <w:overflowPunct/>
        <w:topLinePunct w:val="0"/>
        <w:autoSpaceDE/>
        <w:autoSpaceDN/>
        <w:bidi w:val="0"/>
        <w:adjustRightInd/>
        <w:snapToGrid/>
        <w:spacing w:line="630" w:lineRule="exact"/>
        <w:ind w:left="0"/>
        <w:jc w:val="center"/>
        <w:textAlignment w:val="auto"/>
        <w:rPr>
          <w:rFonts w:ascii="方正小标宋简体" w:eastAsia="方正小标宋简体" w:cs="方正小标宋简体" w:hAnsi="方正小标宋简体" w:hint="eastAsia"/>
          <w:b w:val="0"/>
          <w:bCs/>
          <w:sz w:val="44"/>
          <w:szCs w:val="44"/>
        </w:rPr>
      </w:pPr>
    </w:p>
    <w:p>
      <w:pPr>
        <w:keepNext w:val="0"/>
        <w:keepLines w:val="0"/>
        <w:pageBreakBefore w:val="0"/>
        <w:widowControl w:val="0"/>
        <w:kinsoku/>
        <w:wordWrap/>
        <w:overflowPunct/>
        <w:topLinePunct w:val="0"/>
        <w:autoSpaceDE/>
        <w:autoSpaceDN/>
        <w:bidi w:val="0"/>
        <w:adjustRightInd/>
        <w:snapToGrid/>
        <w:spacing w:line="630" w:lineRule="exact"/>
        <w:ind w:left="0" w:firstLineChars="200" w:firstLine="640"/>
        <w:jc w:val="both"/>
        <w:textAlignment w:val="auto"/>
        <w:outlineLvl w:val="1"/>
        <w:rPr>
          <w:rFonts w:ascii="黑体" w:eastAsia="黑体" w:cs="黑体" w:hAnsi="黑体" w:hint="eastAsia"/>
          <w:b w:val="0"/>
          <w:bCs/>
          <w:sz w:val="32"/>
          <w:szCs w:val="32"/>
        </w:rPr>
      </w:pPr>
      <w:bookmarkStart w:id="0" w:name="heading_0"/>
      <w:r>
        <w:rPr>
          <w:rFonts w:ascii="黑体" w:eastAsia="黑体" w:cs="黑体" w:hAnsi="黑体" w:hint="eastAsia"/>
          <w:b w:val="0"/>
          <w:bCs/>
          <w:sz w:val="32"/>
          <w:szCs w:val="32"/>
        </w:rPr>
        <w:t>一、起草背景和必要性</w:t>
      </w:r>
      <w:bookmarkEnd w:id="0"/>
    </w:p>
    <w:p>
      <w:pPr>
        <w:keepNext w:val="0"/>
        <w:keepLines w:val="0"/>
        <w:pageBreakBefore w:val="0"/>
        <w:widowControl w:val="0"/>
        <w:kinsoku/>
        <w:wordWrap/>
        <w:overflowPunct/>
        <w:topLinePunct w:val="0"/>
        <w:autoSpaceDE/>
        <w:autoSpaceDN/>
        <w:bidi w:val="0"/>
        <w:adjustRightInd/>
        <w:snapToGrid/>
        <w:spacing w:line="630" w:lineRule="exact"/>
        <w:ind w:left="0" w:firstLineChars="150" w:firstLine="480"/>
        <w:jc w:val="both"/>
        <w:textAlignment w:val="auto"/>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住房公积金制度是我国住房保障体系的重要基础性制度，</w:t>
      </w:r>
      <w:r>
        <w:rPr>
          <w:rFonts w:ascii="仿宋_GB2312" w:eastAsia="仿宋_GB2312" w:cs="仿宋_GB2312" w:hAnsi="仿宋_GB2312" w:hint="eastAsia"/>
          <w:i w:val="0"/>
          <w:caps w:val="0"/>
          <w:smallCaps w:val="0"/>
          <w:color w:val="0F1115"/>
          <w:spacing w:val="0"/>
          <w:sz w:val="32"/>
          <w:szCs w:val="32"/>
          <w:shd w:val="clear" w:color="auto" w:fill="FFFFFF"/>
        </w:rPr>
        <w:t>在支持缴存职工住房消费、改善居住条件方面发挥着重要作用</w:t>
      </w:r>
      <w:r>
        <w:rPr>
          <w:rFonts w:ascii="仿宋_GB2312" w:eastAsia="仿宋_GB2312" w:cs="仿宋_GB2312" w:hAnsi="仿宋_GB2312" w:hint="eastAsia"/>
          <w:sz w:val="32"/>
          <w:szCs w:val="32"/>
        </w:rPr>
        <w:t>。</w:t>
      </w:r>
      <w:r>
        <w:rPr>
          <w:rFonts w:ascii="仿宋_GB2312" w:eastAsia="仿宋_GB2312" w:cs="仿宋_GB2312" w:hAnsi="仿宋_GB2312" w:hint="eastAsia"/>
          <w:i w:val="0"/>
          <w:caps w:val="0"/>
          <w:smallCaps w:val="0"/>
          <w:color w:val="0F1115"/>
          <w:spacing w:val="0"/>
          <w:sz w:val="32"/>
          <w:szCs w:val="32"/>
          <w:shd w:val="clear" w:color="auto" w:fill="FFFFFF"/>
        </w:rPr>
        <w:t>近年来，随着住房消费形式日益多样化和缴存职工实际需求的变化，</w:t>
      </w:r>
      <w:r>
        <w:rPr>
          <w:rFonts w:ascii="仿宋_GB2312" w:eastAsia="仿宋_GB2312" w:cs="仿宋_GB2312" w:hAnsi="仿宋_GB2312" w:hint="eastAsia"/>
          <w:sz w:val="32"/>
          <w:szCs w:val="32"/>
        </w:rPr>
        <w:t>缴存职工使用住房公积金支付自住住房物业费、取暖费、车位管理费、购房契税等居住类配套费用的诉求日益迫切。同时，原有购房提取政策限定仅支持缴存职工在缴存地、户籍地购买首套、二套改善型住房办理提取业务，已难以适配当前人口流动常态化、异地购房、跨区域置业的现实情况，政策适用性</w:t>
      </w:r>
      <w:r>
        <w:rPr>
          <w:rFonts w:ascii="仿宋_GB2312" w:eastAsia="仿宋_GB2312" w:cs="仿宋_GB2312" w:hAnsi="仿宋_GB2312"/>
          <w:sz w:val="32"/>
          <w:szCs w:val="32"/>
        </w:rPr>
        <w:t>需要调整</w:t>
      </w:r>
      <w:r>
        <w:rPr>
          <w:rFonts w:ascii="仿宋_GB2312" w:eastAsia="仿宋_GB2312" w:cs="仿宋_GB2312" w:hAnsi="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630" w:lineRule="exact"/>
        <w:ind w:left="0" w:firstLineChars="200" w:firstLine="640"/>
        <w:jc w:val="both"/>
        <w:textAlignment w:val="auto"/>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为深入贯彻落实</w:t>
      </w:r>
      <w:r>
        <w:rPr>
          <w:rFonts w:ascii="仿宋_GB2312" w:eastAsia="仿宋_GB2312" w:cs="仿宋_GB2312" w:hAnsi="仿宋_GB2312"/>
          <w:sz w:val="32"/>
          <w:szCs w:val="32"/>
        </w:rPr>
        <w:t>中央</w:t>
      </w:r>
      <w:r>
        <w:rPr>
          <w:rFonts w:ascii="仿宋_GB2312" w:eastAsia="仿宋_GB2312" w:cs="仿宋_GB2312" w:hAnsi="仿宋_GB2312" w:hint="eastAsia"/>
          <w:sz w:val="32"/>
          <w:szCs w:val="32"/>
        </w:rPr>
        <w:t>关于深化住房公积金制度改革决策部署，进一步健全覆盖住房消费全生命周期的政策支持体系，更好满足缴存职工多元化住房消费需求，结合我市住房公积金管理工作实际，我中心研究起草了《关于优化调整住房公积金提取政策的通知（征求意见稿）》（以下简称《通知》）。</w:t>
      </w:r>
    </w:p>
    <w:p>
      <w:pPr>
        <w:keepNext w:val="0"/>
        <w:keepLines w:val="0"/>
        <w:pageBreakBefore w:val="0"/>
        <w:widowControl w:val="0"/>
        <w:kinsoku/>
        <w:wordWrap/>
        <w:overflowPunct/>
        <w:topLinePunct w:val="0"/>
        <w:autoSpaceDE/>
        <w:autoSpaceDN/>
        <w:bidi w:val="0"/>
        <w:adjustRightInd/>
        <w:snapToGrid/>
        <w:spacing w:line="630" w:lineRule="exact"/>
        <w:ind w:left="0" w:firstLineChars="200" w:firstLine="640"/>
        <w:jc w:val="both"/>
        <w:textAlignment w:val="auto"/>
        <w:outlineLvl w:val="1"/>
        <w:rPr>
          <w:rFonts w:ascii="黑体" w:eastAsia="黑体" w:cs="黑体" w:hAnsi="黑体" w:hint="eastAsia"/>
          <w:b w:val="0"/>
          <w:bCs/>
          <w:sz w:val="32"/>
          <w:szCs w:val="32"/>
        </w:rPr>
      </w:pPr>
      <w:bookmarkStart w:id="1" w:name="heading_1"/>
      <w:r>
        <w:rPr>
          <w:rFonts w:ascii="黑体" w:eastAsia="黑体" w:cs="黑体" w:hAnsi="黑体" w:hint="eastAsia"/>
          <w:b w:val="0"/>
          <w:bCs/>
          <w:sz w:val="32"/>
          <w:szCs w:val="32"/>
        </w:rPr>
        <w:t>二、起草依据</w:t>
      </w:r>
      <w:bookmarkEnd w:id="1"/>
    </w:p>
    <w:p>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30" w:lineRule="exact"/>
        <w:ind w:right="0" w:firstLineChars="150" w:firstLine="480"/>
        <w:textAlignment w:val="auto"/>
        <w:rPr>
          <w:rFonts w:ascii="仿宋_GB2312" w:eastAsia="仿宋_GB2312" w:cs="仿宋_GB2312" w:hAnsi="仿宋_GB2312" w:hint="eastAsia"/>
          <w:i w:val="0"/>
          <w:caps w:val="0"/>
          <w:smallCaps w:val="0"/>
          <w:color w:val="0F1115"/>
          <w:spacing w:val="0"/>
          <w:sz w:val="32"/>
          <w:szCs w:val="32"/>
        </w:rPr>
      </w:pPr>
      <w:bookmarkStart w:id="2" w:name="heading_2"/>
      <w:r>
        <w:rPr>
          <w:rFonts w:ascii="仿宋_GB2312" w:eastAsia="仿宋_GB2312" w:cs="仿宋_GB2312" w:hAnsi="仿宋_GB2312" w:hint="eastAsia"/>
          <w:i w:val="0"/>
          <w:caps w:val="0"/>
          <w:smallCaps w:val="0"/>
          <w:color w:val="0F1115"/>
          <w:spacing w:val="0"/>
          <w:sz w:val="32"/>
          <w:szCs w:val="32"/>
          <w:shd w:val="clear" w:color="auto" w:fill="FFFFFF"/>
        </w:rPr>
        <w:t>《通知》主要依据《住房公积金管理条例》等法规政策，参照国家、省、市关于促进住房消费、支持刚性和改善性住房需求、优化住房公积金使用政策的有关精神，结合郑州市住房公积金管理实际制定。</w:t>
      </w:r>
    </w:p>
    <w:p>
      <w:pPr>
        <w:keepNext w:val="0"/>
        <w:keepLines w:val="0"/>
        <w:pageBreakBefore w:val="0"/>
        <w:widowControl w:val="0"/>
        <w:kinsoku/>
        <w:wordWrap/>
        <w:overflowPunct/>
        <w:topLinePunct w:val="0"/>
        <w:autoSpaceDE/>
        <w:autoSpaceDN/>
        <w:bidi w:val="0"/>
        <w:adjustRightInd/>
        <w:snapToGrid/>
        <w:spacing w:line="630" w:lineRule="exact"/>
        <w:ind w:left="0" w:firstLineChars="200" w:firstLine="640"/>
        <w:jc w:val="both"/>
        <w:textAlignment w:val="auto"/>
        <w:outlineLvl w:val="1"/>
        <w:rPr>
          <w:rFonts w:ascii="黑体" w:eastAsia="黑体" w:cs="黑体" w:hAnsi="黑体" w:hint="eastAsia"/>
          <w:b w:val="0"/>
          <w:bCs/>
          <w:sz w:val="32"/>
          <w:szCs w:val="32"/>
        </w:rPr>
      </w:pPr>
      <w:r>
        <w:rPr>
          <w:rFonts w:ascii="黑体" w:eastAsia="黑体" w:cs="黑体" w:hAnsi="黑体" w:hint="eastAsia"/>
          <w:b w:val="0"/>
          <w:bCs/>
          <w:sz w:val="32"/>
          <w:szCs w:val="32"/>
        </w:rPr>
        <w:t>三、主要内容</w:t>
      </w:r>
      <w:bookmarkEnd w:id="2"/>
    </w:p>
    <w:p>
      <w:pPr>
        <w:keepNext w:val="0"/>
        <w:keepLines w:val="0"/>
        <w:pageBreakBefore w:val="0"/>
        <w:widowControl w:val="0"/>
        <w:kinsoku/>
        <w:wordWrap/>
        <w:overflowPunct/>
        <w:topLinePunct w:val="0"/>
        <w:autoSpaceDE/>
        <w:autoSpaceDN/>
        <w:bidi w:val="0"/>
        <w:adjustRightInd/>
        <w:snapToGrid/>
        <w:spacing w:line="630" w:lineRule="exact"/>
        <w:ind w:left="0" w:firstLineChars="200" w:firstLine="640"/>
        <w:jc w:val="both"/>
        <w:textAlignment w:val="auto"/>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本次政策优化主要包含两大核心内容，一是拓宽住房公积金提取适用范围，新增多项居住配套费用提取事项；二是优化自住住房购房提取规则，放宽提取限制性条件。</w:t>
      </w:r>
    </w:p>
    <w:p>
      <w:pPr>
        <w:keepNext w:val="0"/>
        <w:keepLines w:val="0"/>
        <w:pageBreakBefore w:val="0"/>
        <w:widowControl w:val="0"/>
        <w:kinsoku/>
        <w:wordWrap/>
        <w:overflowPunct/>
        <w:topLinePunct w:val="0"/>
        <w:autoSpaceDE/>
        <w:autoSpaceDN/>
        <w:bidi w:val="0"/>
        <w:adjustRightInd/>
        <w:snapToGrid/>
        <w:spacing w:line="630" w:lineRule="exact"/>
        <w:ind w:left="0" w:firstLineChars="150" w:firstLine="480"/>
        <w:jc w:val="both"/>
        <w:textAlignment w:val="auto"/>
        <w:outlineLvl w:val="2"/>
        <w:rPr>
          <w:rFonts w:ascii="仿宋_GB2312" w:eastAsia="仿宋_GB2312" w:cs="仿宋_GB2312" w:hAnsi="仿宋_GB2312" w:hint="eastAsia"/>
          <w:sz w:val="32"/>
          <w:szCs w:val="32"/>
        </w:rPr>
      </w:pPr>
      <w:bookmarkStart w:id="3" w:name="heading_3"/>
      <w:r>
        <w:rPr>
          <w:rFonts w:ascii="仿宋_GB2312" w:eastAsia="仿宋_GB2312" w:cs="仿宋_GB2312" w:hAnsi="仿宋_GB2312" w:hint="eastAsia"/>
          <w:b/>
          <w:sz w:val="32"/>
          <w:szCs w:val="32"/>
        </w:rPr>
        <w:t>（一）拓宽住房公积金提取范围</w:t>
      </w:r>
      <w:bookmarkEnd w:id="3"/>
    </w:p>
    <w:p>
      <w:pPr>
        <w:keepNext w:val="0"/>
        <w:keepLines w:val="0"/>
        <w:pageBreakBefore w:val="0"/>
        <w:widowControl w:val="0"/>
        <w:kinsoku/>
        <w:wordWrap/>
        <w:overflowPunct/>
        <w:topLinePunct w:val="0"/>
        <w:autoSpaceDE/>
        <w:autoSpaceDN/>
        <w:bidi w:val="0"/>
        <w:adjustRightInd/>
        <w:snapToGrid/>
        <w:spacing w:line="630" w:lineRule="exact"/>
        <w:ind w:left="0" w:firstLineChars="200" w:firstLine="640"/>
        <w:jc w:val="both"/>
        <w:textAlignment w:val="auto"/>
        <w:rPr>
          <w:rFonts w:ascii="仿宋_GB2312" w:eastAsia="仿宋_GB2312" w:cs="仿宋_GB2312" w:hAnsi="仿宋_GB2312" w:hint="eastAsia"/>
          <w:sz w:val="32"/>
          <w:szCs w:val="32"/>
        </w:rPr>
      </w:pPr>
      <w:r>
        <w:rPr>
          <w:rFonts w:ascii="仿宋_GB2312" w:eastAsia="仿宋_GB2312" w:cs="仿宋_GB2312" w:hAnsi="仿宋_GB2312" w:hint="eastAsia"/>
          <w:b/>
          <w:bCs/>
          <w:sz w:val="32"/>
          <w:szCs w:val="32"/>
        </w:rPr>
        <w:t>一是</w:t>
      </w:r>
      <w:r>
        <w:rPr>
          <w:rFonts w:ascii="仿宋_GB2312" w:eastAsia="仿宋_GB2312" w:cs="仿宋_GB2312" w:hAnsi="仿宋_GB2312" w:hint="eastAsia"/>
          <w:sz w:val="32"/>
          <w:szCs w:val="32"/>
        </w:rPr>
        <w:t>新增自住住房物业费、取暖费、车位管理费提取业务。明确缴存职工本人及配偶，可依规提取住房公积金，用于支付郑州市行政区域内自住住房的物业费、取暖费及车位管理费。政策限定职工家庭仅可选定一套自住住房作为提取依据，每年仅可办理一次提取业务，年度提取额度不累计、不结转。其中，物业费、取暖费根据住房不动产权登记建筑面积分档设定年度提取限额，车位管理费实行全市统一家庭年度提取限额标准。</w:t>
      </w:r>
    </w:p>
    <w:p>
      <w:pPr>
        <w:keepNext w:val="0"/>
        <w:keepLines w:val="0"/>
        <w:pageBreakBefore w:val="0"/>
        <w:widowControl w:val="0"/>
        <w:kinsoku/>
        <w:wordWrap/>
        <w:overflowPunct/>
        <w:topLinePunct w:val="0"/>
        <w:autoSpaceDE/>
        <w:autoSpaceDN/>
        <w:bidi w:val="0"/>
        <w:adjustRightInd/>
        <w:snapToGrid/>
        <w:spacing w:line="630" w:lineRule="exact"/>
        <w:ind w:left="0" w:firstLineChars="150" w:firstLine="480"/>
        <w:jc w:val="both"/>
        <w:textAlignment w:val="auto"/>
        <w:rPr>
          <w:rFonts w:ascii="仿宋_GB2312" w:eastAsia="仿宋_GB2312" w:cs="仿宋_GB2312" w:hAnsi="仿宋_GB2312" w:hint="eastAsia"/>
          <w:sz w:val="32"/>
          <w:szCs w:val="32"/>
        </w:rPr>
      </w:pPr>
      <w:r>
        <w:rPr>
          <w:rFonts w:ascii="仿宋_GB2312" w:eastAsia="仿宋_GB2312" w:cs="仿宋_GB2312" w:hAnsi="仿宋_GB2312" w:hint="eastAsia"/>
          <w:b/>
          <w:bCs/>
          <w:sz w:val="32"/>
          <w:szCs w:val="32"/>
        </w:rPr>
        <w:t>二是</w:t>
      </w:r>
      <w:r>
        <w:rPr>
          <w:rFonts w:ascii="仿宋_GB2312" w:eastAsia="仿宋_GB2312" w:cs="仿宋_GB2312" w:hAnsi="仿宋_GB2312" w:hint="eastAsia"/>
          <w:sz w:val="32"/>
          <w:szCs w:val="32"/>
        </w:rPr>
        <w:t>新增购房契税提取业务。缴存职工本人及配偶在郑州市行政区域内购买自住住房并足额缴纳购房契税的，可自契税完税凭证出具之日起一年内，申请一次性住房公积金提取，夫妻双方合计提取额度不超过实际缴纳的契税总额。</w:t>
      </w:r>
    </w:p>
    <w:p>
      <w:pPr>
        <w:keepNext w:val="0"/>
        <w:keepLines w:val="0"/>
        <w:pageBreakBefore w:val="0"/>
        <w:widowControl w:val="0"/>
        <w:kinsoku/>
        <w:wordWrap/>
        <w:overflowPunct/>
        <w:topLinePunct w:val="0"/>
        <w:autoSpaceDE/>
        <w:autoSpaceDN/>
        <w:bidi w:val="0"/>
        <w:adjustRightInd/>
        <w:snapToGrid/>
        <w:spacing w:line="630" w:lineRule="exact"/>
        <w:ind w:left="0" w:firstLineChars="100" w:firstLine="320"/>
        <w:jc w:val="both"/>
        <w:textAlignment w:val="auto"/>
        <w:outlineLvl w:val="2"/>
        <w:rPr>
          <w:rFonts w:ascii="仿宋_GB2312" w:eastAsia="仿宋_GB2312" w:cs="仿宋_GB2312" w:hAnsi="仿宋_GB2312" w:hint="eastAsia"/>
          <w:sz w:val="32"/>
          <w:szCs w:val="32"/>
        </w:rPr>
      </w:pPr>
      <w:bookmarkStart w:id="4" w:name="heading_4"/>
      <w:r>
        <w:rPr>
          <w:rFonts w:ascii="仿宋_GB2312" w:eastAsia="仿宋_GB2312" w:cs="仿宋_GB2312" w:hAnsi="仿宋_GB2312" w:hint="eastAsia"/>
          <w:b/>
          <w:sz w:val="32"/>
          <w:szCs w:val="32"/>
        </w:rPr>
        <w:t>（二）优化购买自住住房提取政策</w:t>
      </w:r>
      <w:bookmarkEnd w:id="4"/>
    </w:p>
    <w:p>
      <w:pPr>
        <w:keepNext w:val="0"/>
        <w:keepLines w:val="0"/>
        <w:pageBreakBefore w:val="0"/>
        <w:widowControl w:val="0"/>
        <w:kinsoku/>
        <w:wordWrap/>
        <w:overflowPunct/>
        <w:topLinePunct w:val="0"/>
        <w:autoSpaceDE/>
        <w:autoSpaceDN/>
        <w:bidi w:val="0"/>
        <w:adjustRightInd/>
        <w:snapToGrid/>
        <w:spacing w:line="630" w:lineRule="exact"/>
        <w:ind w:left="0" w:firstLineChars="150" w:firstLine="480"/>
        <w:jc w:val="both"/>
        <w:textAlignment w:val="auto"/>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废止《郑州住房公积金管理中心关于规范住房公积金提取业务有关问题的通知》（郑公积金〔2018〕51号）中，关于购房提取仅限“缴存地或户籍所在地购买首套普通住房和第二套改善型住房”的限制性条款。政策调整后，取消购房提取的地域、住房套数限制，我市缴存职工购买自住住房，均可凭五年内合法有效的购房手续申请提取住房公积金，家庭累计提取总额不超过本次购房实际支付房款总额，有效解决异地购房、缴存地与户籍地不一致职工的公积金提取难题。</w:t>
      </w:r>
    </w:p>
    <w:p>
      <w:pPr>
        <w:keepNext w:val="0"/>
        <w:keepLines w:val="0"/>
        <w:pageBreakBefore w:val="0"/>
        <w:widowControl w:val="0"/>
        <w:kinsoku/>
        <w:wordWrap/>
        <w:overflowPunct/>
        <w:topLinePunct w:val="0"/>
        <w:autoSpaceDE/>
        <w:autoSpaceDN/>
        <w:bidi w:val="0"/>
        <w:adjustRightInd/>
        <w:snapToGrid/>
        <w:spacing w:line="630" w:lineRule="exact"/>
        <w:ind w:left="0" w:firstLineChars="150" w:firstLine="480"/>
        <w:jc w:val="both"/>
        <w:textAlignment w:val="auto"/>
        <w:outlineLvl w:val="1"/>
        <w:rPr>
          <w:rFonts w:ascii="黑体" w:eastAsia="黑体" w:cs="黑体" w:hAnsi="黑体" w:hint="eastAsia"/>
          <w:b w:val="0"/>
          <w:bCs/>
          <w:sz w:val="32"/>
          <w:szCs w:val="32"/>
        </w:rPr>
      </w:pPr>
      <w:bookmarkStart w:id="5" w:name="heading_5"/>
      <w:r>
        <w:rPr>
          <w:rFonts w:ascii="黑体" w:eastAsia="黑体" w:cs="黑体" w:hAnsi="黑体" w:hint="eastAsia"/>
          <w:b w:val="0"/>
          <w:bCs/>
          <w:sz w:val="32"/>
          <w:szCs w:val="32"/>
        </w:rPr>
        <w:t>四、主要特点</w:t>
      </w:r>
      <w:bookmarkEnd w:id="5"/>
    </w:p>
    <w:p>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30" w:lineRule="exact"/>
        <w:ind w:left="0" w:right="0" w:firstLineChars="200" w:firstLine="640"/>
        <w:textAlignment w:val="auto"/>
        <w:rPr>
          <w:rFonts w:ascii="仿宋_GB2312" w:eastAsia="仿宋_GB2312" w:cs="仿宋_GB2312" w:hAnsi="仿宋_GB2312" w:hint="eastAsia"/>
          <w:i w:val="0"/>
          <w:caps w:val="0"/>
          <w:smallCaps w:val="0"/>
          <w:color w:val="0F1115"/>
          <w:spacing w:val="0"/>
          <w:sz w:val="32"/>
          <w:szCs w:val="32"/>
        </w:rPr>
      </w:pPr>
      <w:bookmarkStart w:id="6" w:name="heading_10"/>
      <w:r>
        <w:rPr>
          <w:rFonts w:ascii="仿宋_GB2312" w:eastAsia="仿宋_GB2312" w:cs="仿宋_GB2312" w:hAnsi="仿宋_GB2312" w:hint="eastAsia"/>
          <w:i w:val="0"/>
          <w:caps w:val="0"/>
          <w:smallCaps w:val="0"/>
          <w:color w:val="0F1115"/>
          <w:spacing w:val="0"/>
          <w:sz w:val="32"/>
          <w:szCs w:val="32"/>
          <w:shd w:val="clear" w:color="auto" w:fill="FFFFFF"/>
        </w:rPr>
        <w:t>一是突出保障性。政策聚焦自住住房，限定每个家庭仅限选择一套住房提取物业费、取暖费、车位管理费，防止重复提取，体现住房保障功能。</w:t>
      </w:r>
    </w:p>
    <w:p>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30" w:lineRule="exact"/>
        <w:ind w:left="0" w:right="0" w:firstLineChars="200" w:firstLine="640"/>
        <w:textAlignment w:val="auto"/>
        <w:rPr>
          <w:rFonts w:ascii="仿宋_GB2312" w:eastAsia="仿宋_GB2312" w:cs="仿宋_GB2312" w:hAnsi="仿宋_GB2312" w:hint="eastAsia"/>
          <w:i w:val="0"/>
          <w:caps w:val="0"/>
          <w:smallCaps w:val="0"/>
          <w:color w:val="0F1115"/>
          <w:spacing w:val="0"/>
          <w:sz w:val="32"/>
          <w:szCs w:val="32"/>
        </w:rPr>
      </w:pPr>
      <w:r>
        <w:rPr>
          <w:rFonts w:ascii="仿宋_GB2312" w:eastAsia="仿宋_GB2312" w:cs="仿宋_GB2312" w:hAnsi="仿宋_GB2312" w:hint="eastAsia"/>
          <w:i w:val="0"/>
          <w:caps w:val="0"/>
          <w:smallCaps w:val="0"/>
          <w:color w:val="0F1115"/>
          <w:spacing w:val="0"/>
          <w:sz w:val="32"/>
          <w:szCs w:val="32"/>
          <w:shd w:val="clear" w:color="auto" w:fill="FFFFFF"/>
        </w:rPr>
        <w:t>二是注重精准性。物业费、取暖费按住房建筑面积分档核定提取额度，车位管理费按家庭统一标准核定，既考虑不同住房面积的实际差异，又兼顾政策公平和资金安全。</w:t>
      </w:r>
    </w:p>
    <w:p>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30" w:lineRule="exact"/>
        <w:ind w:left="0" w:right="0" w:firstLineChars="200" w:firstLine="640"/>
        <w:textAlignment w:val="auto"/>
        <w:rPr>
          <w:rFonts w:ascii="仿宋_GB2312" w:eastAsia="仿宋_GB2312" w:cs="仿宋_GB2312" w:hAnsi="仿宋_GB2312" w:hint="eastAsia"/>
          <w:i w:val="0"/>
          <w:caps w:val="0"/>
          <w:smallCaps w:val="0"/>
          <w:color w:val="0F1115"/>
          <w:spacing w:val="0"/>
          <w:sz w:val="32"/>
          <w:szCs w:val="32"/>
        </w:rPr>
      </w:pPr>
      <w:r>
        <w:rPr>
          <w:rFonts w:ascii="仿宋_GB2312" w:eastAsia="仿宋_GB2312" w:cs="仿宋_GB2312" w:hAnsi="仿宋_GB2312" w:hint="eastAsia"/>
          <w:i w:val="0"/>
          <w:caps w:val="0"/>
          <w:smallCaps w:val="0"/>
          <w:color w:val="0F1115"/>
          <w:spacing w:val="0"/>
          <w:sz w:val="32"/>
          <w:szCs w:val="32"/>
          <w:shd w:val="clear" w:color="auto" w:fill="FFFFFF"/>
        </w:rPr>
        <w:t>三是</w:t>
      </w:r>
      <w:r>
        <w:rPr>
          <w:rFonts w:ascii="仿宋_GB2312" w:eastAsia="仿宋_GB2312" w:cs="仿宋_GB2312" w:hAnsi="仿宋_GB2312" w:hint="eastAsia"/>
          <w:i w:val="0"/>
          <w:caps w:val="0"/>
          <w:smallCaps w:val="0"/>
          <w:color w:val="0F1115"/>
          <w:spacing w:val="0"/>
          <w:sz w:val="32"/>
          <w:szCs w:val="32"/>
          <w:shd w:val="clear" w:color="auto" w:fill="FFFFFF"/>
          <w:lang w:eastAsia="zh-CN"/>
        </w:rPr>
        <w:t>拓宽使用性</w:t>
      </w:r>
      <w:r>
        <w:rPr>
          <w:rFonts w:ascii="仿宋_GB2312" w:eastAsia="仿宋_GB2312" w:cs="仿宋_GB2312" w:hAnsi="仿宋_GB2312" w:hint="eastAsia"/>
          <w:i w:val="0"/>
          <w:caps w:val="0"/>
          <w:smallCaps w:val="0"/>
          <w:color w:val="0F1115"/>
          <w:spacing w:val="0"/>
          <w:sz w:val="32"/>
          <w:szCs w:val="32"/>
          <w:shd w:val="clear" w:color="auto" w:fill="FFFFFF"/>
        </w:rPr>
        <w:t>。取消购房提取的地域限制，解决缴存人异地购房、户籍地与缴存地不一致等</w:t>
      </w:r>
      <w:r>
        <w:rPr>
          <w:rFonts w:ascii="仿宋_GB2312" w:eastAsia="仿宋_GB2312" w:cs="仿宋_GB2312" w:hAnsi="仿宋_GB2312" w:hint="eastAsia"/>
          <w:i w:val="0"/>
          <w:caps w:val="0"/>
          <w:smallCaps w:val="0"/>
          <w:color w:val="0F1115"/>
          <w:spacing w:val="0"/>
          <w:sz w:val="32"/>
          <w:szCs w:val="32"/>
          <w:shd w:val="clear" w:color="auto" w:fill="FFFFFF"/>
          <w:lang w:eastAsia="zh-CN"/>
        </w:rPr>
        <w:t>不能</w:t>
      </w:r>
      <w:r>
        <w:rPr>
          <w:rFonts w:ascii="仿宋_GB2312" w:eastAsia="仿宋_GB2312" w:cs="仿宋_GB2312" w:hAnsi="仿宋_GB2312" w:hint="eastAsia"/>
          <w:i w:val="0"/>
          <w:caps w:val="0"/>
          <w:smallCaps w:val="0"/>
          <w:color w:val="0F1115"/>
          <w:spacing w:val="0"/>
          <w:sz w:val="32"/>
          <w:szCs w:val="32"/>
          <w:shd w:val="clear" w:color="auto" w:fill="FFFFFF"/>
        </w:rPr>
        <w:t>提取</w:t>
      </w:r>
      <w:r>
        <w:rPr>
          <w:rFonts w:ascii="仿宋_GB2312" w:eastAsia="仿宋_GB2312" w:cs="仿宋_GB2312" w:hAnsi="仿宋_GB2312" w:hint="eastAsia"/>
          <w:i w:val="0"/>
          <w:caps w:val="0"/>
          <w:smallCaps w:val="0"/>
          <w:color w:val="0F1115"/>
          <w:spacing w:val="0"/>
          <w:sz w:val="32"/>
          <w:szCs w:val="32"/>
          <w:shd w:val="clear" w:color="auto" w:fill="FFFFFF"/>
          <w:lang w:eastAsia="zh-CN"/>
        </w:rPr>
        <w:t>公积金</w:t>
      </w:r>
      <w:r>
        <w:rPr>
          <w:rFonts w:ascii="仿宋_GB2312" w:eastAsia="仿宋_GB2312" w:cs="仿宋_GB2312" w:hAnsi="仿宋_GB2312" w:hint="eastAsia"/>
          <w:i w:val="0"/>
          <w:caps w:val="0"/>
          <w:smallCaps w:val="0"/>
          <w:color w:val="0F1115"/>
          <w:spacing w:val="0"/>
          <w:sz w:val="32"/>
          <w:szCs w:val="32"/>
          <w:shd w:val="clear" w:color="auto" w:fill="FFFFFF"/>
        </w:rPr>
        <w:t>问题，</w:t>
      </w:r>
      <w:r>
        <w:rPr>
          <w:rFonts w:ascii="仿宋_GB2312" w:eastAsia="仿宋_GB2312" w:cs="仿宋_GB2312" w:hAnsi="仿宋_GB2312" w:hint="eastAsia"/>
          <w:i w:val="0"/>
          <w:caps w:val="0"/>
          <w:smallCaps w:val="0"/>
          <w:color w:val="0F1115"/>
          <w:spacing w:val="0"/>
          <w:sz w:val="32"/>
          <w:szCs w:val="32"/>
          <w:shd w:val="clear" w:color="auto" w:fill="FFFFFF"/>
          <w:lang w:eastAsia="zh-CN"/>
        </w:rPr>
        <w:t>拓宽使用性，</w:t>
      </w:r>
      <w:r>
        <w:rPr>
          <w:rFonts w:ascii="仿宋_GB2312" w:eastAsia="仿宋_GB2312" w:cs="仿宋_GB2312" w:hAnsi="仿宋_GB2312" w:hint="eastAsia"/>
          <w:i w:val="0"/>
          <w:caps w:val="0"/>
          <w:smallCaps w:val="0"/>
          <w:color w:val="0F1115"/>
          <w:spacing w:val="0"/>
          <w:sz w:val="32"/>
          <w:szCs w:val="32"/>
          <w:shd w:val="clear" w:color="auto" w:fill="FFFFFF"/>
        </w:rPr>
        <w:t>提升住房公积金使用</w:t>
      </w:r>
      <w:r>
        <w:rPr>
          <w:rFonts w:ascii="仿宋_GB2312" w:eastAsia="仿宋_GB2312" w:cs="仿宋_GB2312" w:hAnsi="仿宋_GB2312" w:hint="eastAsia"/>
          <w:i w:val="0"/>
          <w:caps w:val="0"/>
          <w:smallCaps w:val="0"/>
          <w:color w:val="0F1115"/>
          <w:spacing w:val="0"/>
          <w:sz w:val="32"/>
          <w:szCs w:val="32"/>
          <w:shd w:val="clear" w:color="auto" w:fill="FFFFFF"/>
          <w:lang w:eastAsia="zh-CN"/>
        </w:rPr>
        <w:t>率</w:t>
      </w:r>
      <w:r>
        <w:rPr>
          <w:rFonts w:ascii="仿宋_GB2312" w:eastAsia="仿宋_GB2312" w:cs="仿宋_GB2312" w:hAnsi="仿宋_GB2312" w:hint="eastAsia"/>
          <w:i w:val="0"/>
          <w:caps w:val="0"/>
          <w:smallCaps w:val="0"/>
          <w:color w:val="0F1115"/>
          <w:spacing w:val="0"/>
          <w:sz w:val="32"/>
          <w:szCs w:val="32"/>
          <w:shd w:val="clear" w:color="auto" w:fill="FFFFFF"/>
        </w:rPr>
        <w:t>。</w:t>
      </w:r>
    </w:p>
    <w:p>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30" w:lineRule="exact"/>
        <w:ind w:left="0" w:right="0" w:firstLineChars="200" w:firstLine="640"/>
        <w:textAlignment w:val="auto"/>
        <w:rPr>
          <w:rFonts w:ascii="仿宋_GB2312" w:eastAsia="仿宋_GB2312" w:cs="仿宋_GB2312" w:hAnsi="仿宋_GB2312" w:hint="eastAsia"/>
          <w:i w:val="0"/>
          <w:caps w:val="0"/>
          <w:smallCaps w:val="0"/>
          <w:color w:val="0F1115"/>
          <w:spacing w:val="0"/>
          <w:sz w:val="32"/>
          <w:szCs w:val="32"/>
        </w:rPr>
      </w:pPr>
      <w:r>
        <w:rPr>
          <w:rFonts w:ascii="仿宋_GB2312" w:eastAsia="仿宋_GB2312" w:cs="仿宋_GB2312" w:hAnsi="仿宋_GB2312" w:hint="eastAsia"/>
          <w:i w:val="0"/>
          <w:caps w:val="0"/>
          <w:smallCaps w:val="0"/>
          <w:color w:val="0F1115"/>
          <w:spacing w:val="0"/>
          <w:sz w:val="32"/>
          <w:szCs w:val="32"/>
          <w:shd w:val="clear" w:color="auto" w:fill="FFFFFF"/>
        </w:rPr>
        <w:t>四是</w:t>
      </w:r>
      <w:r>
        <w:rPr>
          <w:rFonts w:ascii="仿宋_GB2312" w:eastAsia="仿宋_GB2312" w:cs="仿宋_GB2312" w:hAnsi="仿宋_GB2312" w:hint="eastAsia"/>
          <w:i w:val="0"/>
          <w:caps w:val="0"/>
          <w:smallCaps w:val="0"/>
          <w:color w:val="0F1115"/>
          <w:spacing w:val="0"/>
          <w:sz w:val="32"/>
          <w:szCs w:val="32"/>
          <w:shd w:val="clear" w:color="auto" w:fill="FFFFFF"/>
          <w:lang w:eastAsia="zh-CN"/>
        </w:rPr>
        <w:t>坚持</w:t>
      </w:r>
      <w:r>
        <w:rPr>
          <w:rFonts w:ascii="仿宋_GB2312" w:eastAsia="仿宋_GB2312" w:cs="仿宋_GB2312" w:hAnsi="仿宋_GB2312" w:hint="eastAsia"/>
          <w:i w:val="0"/>
          <w:caps w:val="0"/>
          <w:smallCaps w:val="0"/>
          <w:color w:val="0F1115"/>
          <w:spacing w:val="0"/>
          <w:sz w:val="32"/>
          <w:szCs w:val="32"/>
          <w:shd w:val="clear" w:color="auto" w:fill="FFFFFF"/>
        </w:rPr>
        <w:t>可持续性。明确每个自然年度可提取一次、不支持累计提取，契税提取设定一年申请时限，有利于合理引导提取预期，保障住房公积金制度平稳运行。</w:t>
      </w:r>
    </w:p>
    <w:p>
      <w:pPr>
        <w:keepNext w:val="0"/>
        <w:keepLines w:val="0"/>
        <w:pageBreakBefore w:val="0"/>
        <w:widowControl w:val="0"/>
        <w:kinsoku/>
        <w:wordWrap/>
        <w:overflowPunct/>
        <w:topLinePunct w:val="0"/>
        <w:autoSpaceDE/>
        <w:autoSpaceDN/>
        <w:bidi w:val="0"/>
        <w:adjustRightInd/>
        <w:snapToGrid/>
        <w:spacing w:line="630" w:lineRule="exact"/>
        <w:ind w:left="0" w:firstLineChars="200" w:firstLine="640"/>
        <w:jc w:val="both"/>
        <w:textAlignment w:val="auto"/>
        <w:outlineLvl w:val="1"/>
        <w:rPr>
          <w:rFonts w:ascii="黑体" w:eastAsia="黑体" w:cs="黑体" w:hAnsi="黑体" w:hint="eastAsia"/>
          <w:b w:val="0"/>
          <w:bCs/>
          <w:sz w:val="32"/>
          <w:szCs w:val="32"/>
        </w:rPr>
      </w:pPr>
      <w:r>
        <w:rPr>
          <w:rFonts w:ascii="黑体" w:eastAsia="黑体" w:cs="黑体" w:hAnsi="黑体" w:hint="eastAsia"/>
          <w:b w:val="0"/>
          <w:bCs/>
          <w:sz w:val="32"/>
          <w:szCs w:val="32"/>
        </w:rPr>
        <w:t>五、征求意见情况</w:t>
      </w:r>
      <w:bookmarkStart w:id="7" w:name="_GoBack"/>
      <w:bookmarkEnd w:id="6"/>
      <w:bookmarkEnd w:id="7"/>
    </w:p>
    <w:p>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30" w:lineRule="exact"/>
        <w:ind w:left="0" w:right="0" w:firstLineChars="200" w:firstLine="640"/>
        <w:textAlignment w:val="auto"/>
        <w:rPr>
          <w:rFonts w:ascii="仿宋_GB2312" w:eastAsia="仿宋_GB2312" w:cs="仿宋_GB2312" w:hAnsi="仿宋_GB2312" w:hint="eastAsia"/>
          <w:i w:val="0"/>
          <w:caps w:val="0"/>
          <w:smallCaps w:val="0"/>
          <w:color w:val="0F1115"/>
          <w:spacing w:val="0"/>
          <w:sz w:val="32"/>
          <w:szCs w:val="32"/>
        </w:rPr>
      </w:pPr>
      <w:r>
        <w:rPr>
          <w:rFonts w:ascii="仿宋_GB2312" w:eastAsia="仿宋_GB2312" w:cs="仿宋_GB2312" w:hAnsi="仿宋_GB2312" w:hint="eastAsia"/>
          <w:i w:val="0"/>
          <w:caps w:val="0"/>
          <w:smallCaps w:val="0"/>
          <w:color w:val="0F1115"/>
          <w:spacing w:val="0"/>
          <w:sz w:val="32"/>
          <w:szCs w:val="32"/>
          <w:shd w:val="clear" w:color="auto" w:fill="FFFFFF"/>
        </w:rPr>
        <w:t>本《通知》为征求意见稿，现向社会公开征求意见。下一步，将根据反馈意见修改完善后，按程序印发实施。</w:t>
      </w:r>
    </w:p>
    <w:p>
      <w:pPr>
        <w:keepNext w:val="0"/>
        <w:keepLines w:val="0"/>
        <w:pageBreakBefore w:val="0"/>
        <w:widowControl w:val="0"/>
        <w:kinsoku/>
        <w:wordWrap/>
        <w:overflowPunct/>
        <w:topLinePunct w:val="0"/>
        <w:autoSpaceDE/>
        <w:autoSpaceDN/>
        <w:bidi w:val="0"/>
        <w:adjustRightInd/>
        <w:snapToGrid/>
        <w:spacing w:line="630" w:lineRule="exact"/>
        <w:ind w:left="0"/>
        <w:jc w:val="both"/>
        <w:textAlignment w:val="auto"/>
        <w:rPr>
          <w:rFonts w:ascii="仿宋_GB2312" w:eastAsia="仿宋_GB2312" w:cs="仿宋_GB2312" w:hAnsi="仿宋_GB2312" w:hint="eastAsia"/>
          <w:sz w:val="32"/>
          <w:szCs w:val="32"/>
        </w:rPr>
      </w:pPr>
    </w:p>
    <w:sectPr>
      <w:headerReference w:type="default" r:id="rId2"/>
      <w:footerReference w:type="default" r:id="rId3"/>
      <w:pgSz w:w="11905" w:h="16840"/>
      <w:pgMar w:top="1440" w:right="1179" w:bottom="1440" w:left="1519" w:header="720" w:footer="720" w:gutter="0"/>
      <w:docGrid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auto"/>
    <w:pitch w:val="variable"/>
    <w:sig w:usb0="A00002BF" w:usb1="184F6CFA" w:usb2="00000012" w:usb3="00000000" w:csb0="00040001" w:csb1="0000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altName w:val="方正书宋_GBK"/>
    <w:panose1 w:val="00000000000000000000"/>
    <w:charset w:val="00"/>
    <w:family w:val="auto"/>
    <w:pitch w:val="variable"/>
    <w:sig w:usb0="00000000" w:usb1="00000000" w:usb2="00000000" w:usb3="00000000" w:csb0="00000000" w:csb1="00000000"/>
  </w:font>
  <w:font w:name="Lucida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DejaVu Sans"/>
    <w:panose1 w:val="020B0604020202020204"/>
    <w:charset w:val="01"/>
    <w:family w:val="swiss"/>
    <w:pitch w:val="variable"/>
    <w:sig w:usb0="E0002AFF" w:usb1="C0007843" w:usb2="00000009" w:usb3="00000000" w:csb0="400001FF" w:csb1="FFFF0000"/>
  </w:font>
  <w:font w:name="方正兰亭黑_GBK">
    <w:panose1 w:val="02000000000000000000"/>
    <w:charset w:val="86"/>
    <w:family w:val="script"/>
    <w:pitch w:val="variable"/>
    <w:sig w:usb0="A00002BF" w:usb1="3ACF7CFA" w:usb2="0008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compat>
    <w:spaceForUL/>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sz w:val="21"/>
      <w:szCs w:val="22"/>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Normal (Web)"/>
    <w:basedOn w:val="0"/>
    <w:rPr>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827DA1B8-976A-4F66-B018-45A025D3977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TotalTime>
  <Application>Yozo_Office27021597764231179</Application>
  <Pages>3</Pages>
  <Words>0</Words>
  <Characters>1094</Characters>
  <Lines>0</Lines>
  <Paragraphs>22</Paragraphs>
  <CharactersWithSpaces>1459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Apache POI</dc:creator>
  <cp:lastModifiedBy>inspur</cp:lastModifiedBy>
  <cp:revision>0</cp:revision>
  <dcterms:created xsi:type="dcterms:W3CDTF">2026-08-17T17:09:00Z</dcterms:created>
  <dcterms:modified xsi:type="dcterms:W3CDTF">2026-08-18T08:05:48Z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AIGC">
    <vt:lpwstr>{"Label":"1","ContentProducer":"001191110102MACQD9K64010000","ProduceID":"7674925231820032987","ReservedCode1":"","ContentPropagator":"","PropagateID":"","ReservedCode2":""}</vt:lpwstr>
  </property>
  <property fmtid="{D5CDD505-2E9C-101B-9397-08002B2CF9AE}" pid="3" name="KSOProductBuildVer">
    <vt:lpwstr>2052-11.8.2.9339</vt:lpwstr>
  </property>
</Properties>
</file>